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41" w:rsidRPr="00566DD4" w:rsidRDefault="00BA2B43" w:rsidP="00566D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DD4">
        <w:rPr>
          <w:rFonts w:ascii="Times New Roman" w:hAnsi="Times New Roman" w:cs="Times New Roman"/>
          <w:b/>
          <w:sz w:val="24"/>
          <w:szCs w:val="24"/>
        </w:rPr>
        <w:t>Закон Иркутской области</w:t>
      </w:r>
    </w:p>
    <w:p w:rsidR="00566DD4" w:rsidRPr="00566DD4" w:rsidRDefault="00566DD4" w:rsidP="00566D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DD4">
        <w:rPr>
          <w:rFonts w:ascii="Times New Roman" w:hAnsi="Times New Roman" w:cs="Times New Roman"/>
          <w:b/>
          <w:sz w:val="24"/>
          <w:szCs w:val="24"/>
        </w:rPr>
        <w:t xml:space="preserve">31.12.2019                      </w:t>
      </w:r>
      <w:r w:rsidR="00915AD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66D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№145-оз</w:t>
      </w:r>
    </w:p>
    <w:p w:rsidR="00915AD8" w:rsidRDefault="00915AD8" w:rsidP="00566D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B43" w:rsidRPr="00566DD4" w:rsidRDefault="00BA2B43" w:rsidP="00566D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DD4">
        <w:rPr>
          <w:rFonts w:ascii="Times New Roman" w:hAnsi="Times New Roman" w:cs="Times New Roman"/>
          <w:b/>
          <w:sz w:val="24"/>
          <w:szCs w:val="24"/>
        </w:rPr>
        <w:t>О в</w:t>
      </w:r>
      <w:r w:rsidR="00566DD4" w:rsidRPr="00566DD4">
        <w:rPr>
          <w:rFonts w:ascii="Times New Roman" w:hAnsi="Times New Roman" w:cs="Times New Roman"/>
          <w:b/>
          <w:sz w:val="24"/>
          <w:szCs w:val="24"/>
        </w:rPr>
        <w:t>н</w:t>
      </w:r>
      <w:r w:rsidRPr="00566DD4">
        <w:rPr>
          <w:rFonts w:ascii="Times New Roman" w:hAnsi="Times New Roman" w:cs="Times New Roman"/>
          <w:b/>
          <w:sz w:val="24"/>
          <w:szCs w:val="24"/>
        </w:rPr>
        <w:t>есении изменений в отдельные законы Иркутской области</w:t>
      </w:r>
    </w:p>
    <w:p w:rsidR="00BA2B43" w:rsidRPr="00566DD4" w:rsidRDefault="00BA2B43" w:rsidP="00566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C41" w:rsidRPr="00566DD4" w:rsidRDefault="00D76C41" w:rsidP="00566DD4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Статья 1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DD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566DD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Иркутской области от 12 июля 2010 года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60-ОЗ </w:t>
      </w:r>
      <w:r w:rsidR="00566DD4" w:rsidRPr="00566DD4">
        <w:rPr>
          <w:rFonts w:ascii="Times New Roman" w:hAnsi="Times New Roman" w:cs="Times New Roman"/>
          <w:sz w:val="24"/>
          <w:szCs w:val="24"/>
        </w:rPr>
        <w:t>«</w:t>
      </w:r>
      <w:r w:rsidRPr="00566DD4">
        <w:rPr>
          <w:rFonts w:ascii="Times New Roman" w:hAnsi="Times New Roman" w:cs="Times New Roman"/>
          <w:sz w:val="24"/>
          <w:szCs w:val="24"/>
        </w:rPr>
        <w:t>О пониженных налоговых ставках налога на прибыль организаций, подлежащего зачислению в областной бюджет, для отдельных категорий налогоплательщиков</w:t>
      </w:r>
      <w:r w:rsidR="00566DD4" w:rsidRPr="00566DD4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2010,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22, т. 3; 2012,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40,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46, т. 2; 2013,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55, т. 2; 2014,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6; 2016,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33, т. 1,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>43;</w:t>
      </w:r>
      <w:proofErr w:type="gramEnd"/>
      <w:r w:rsidRPr="00566DD4">
        <w:rPr>
          <w:rFonts w:ascii="Times New Roman" w:hAnsi="Times New Roman" w:cs="Times New Roman"/>
          <w:sz w:val="24"/>
          <w:szCs w:val="24"/>
        </w:rPr>
        <w:t xml:space="preserve"> 2018,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64, т. 1,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>6) следующие изменения: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566DD4">
          <w:rPr>
            <w:rFonts w:ascii="Times New Roman" w:hAnsi="Times New Roman" w:cs="Times New Roman"/>
            <w:sz w:val="24"/>
            <w:szCs w:val="24"/>
          </w:rPr>
          <w:t>статью 2(1)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566DD4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566DD4">
          <w:rPr>
            <w:rFonts w:ascii="Times New Roman" w:hAnsi="Times New Roman" w:cs="Times New Roman"/>
            <w:sz w:val="24"/>
            <w:szCs w:val="24"/>
          </w:rPr>
          <w:t>статью 2(2)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76C41" w:rsidRPr="00566DD4" w:rsidRDefault="00915AD8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76C41" w:rsidRPr="00566DD4">
        <w:rPr>
          <w:rFonts w:ascii="Times New Roman" w:hAnsi="Times New Roman" w:cs="Times New Roman"/>
          <w:sz w:val="24"/>
          <w:szCs w:val="24"/>
        </w:rPr>
        <w:t>Статья 2(2)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1. Установить следующие размеры пониженных налоговых ставок налога на прибыль для предусмотренных </w:t>
      </w:r>
      <w:hyperlink r:id="rId8" w:history="1">
        <w:r w:rsidRPr="00566DD4">
          <w:rPr>
            <w:rFonts w:ascii="Times New Roman" w:hAnsi="Times New Roman" w:cs="Times New Roman"/>
            <w:sz w:val="24"/>
            <w:szCs w:val="24"/>
          </w:rPr>
          <w:t>подпунктом 1 пункта 1 статьи 25.9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организаций - участников региональных инвестиционных проектов, включенных в реестр участников региональных инвестиционных проектов: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1) 0 процентов в течение первых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2) 10 процентов в течение следующих пяти налоговых периодов по истечении периодов, указанных в пункте 1 части 1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2. Пониженные налоговые ставки налога на прибыль, предусмотренные частью 1 настоящей статьи, не применяются организациями - участниками региональных инвестиционных проектов, включенными в реестр участников региональных инвестиционных проектов, у которых в структуре доходов, учитываемых при определении налоговой базы, без учета доходов в виде положительных курсовых разниц наибольший удельный вес приходится на доходы, полученные от осуществления вида экономической деятельности, включенного в </w:t>
      </w:r>
      <w:hyperlink r:id="rId9" w:history="1">
        <w:r w:rsidRPr="00566DD4">
          <w:rPr>
            <w:rFonts w:ascii="Times New Roman" w:hAnsi="Times New Roman" w:cs="Times New Roman"/>
            <w:sz w:val="24"/>
            <w:szCs w:val="24"/>
          </w:rPr>
          <w:t>раздел В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</w:t>
      </w:r>
      <w:r w:rsidR="00915AD8">
        <w:rPr>
          <w:rFonts w:ascii="Times New Roman" w:hAnsi="Times New Roman" w:cs="Times New Roman"/>
          <w:sz w:val="24"/>
          <w:szCs w:val="24"/>
        </w:rPr>
        <w:t>«</w:t>
      </w:r>
      <w:r w:rsidRPr="00566DD4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  <w:r w:rsidR="00915AD8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 деятельности ОК 029-2014 (КДЕС РЕД. 2).</w:t>
      </w:r>
      <w:r w:rsidR="00915AD8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>.</w:t>
      </w:r>
    </w:p>
    <w:p w:rsidR="00915AD8" w:rsidRDefault="00915AD8" w:rsidP="00915AD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6C41" w:rsidRPr="00566DD4" w:rsidRDefault="00D76C41" w:rsidP="00915AD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Статья 2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 w:rsidRPr="00566DD4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Закона Иркутской области от 8 октября 2007 года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75-оз </w:t>
      </w:r>
      <w:r w:rsidR="00915AD8">
        <w:rPr>
          <w:rFonts w:ascii="Times New Roman" w:hAnsi="Times New Roman" w:cs="Times New Roman"/>
          <w:sz w:val="24"/>
          <w:szCs w:val="24"/>
        </w:rPr>
        <w:t>«</w:t>
      </w:r>
      <w:r w:rsidRPr="00566DD4">
        <w:rPr>
          <w:rFonts w:ascii="Times New Roman" w:hAnsi="Times New Roman" w:cs="Times New Roman"/>
          <w:sz w:val="24"/>
          <w:szCs w:val="24"/>
        </w:rPr>
        <w:t>О налоге на имущество организаций</w:t>
      </w:r>
      <w:r w:rsidR="00915AD8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2007,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34, т. 1; 2008,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45, т. 1; Ведомости Законодательного Собрания Иркутской области, 2009,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16, т. 2; 2010,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25, т. 1; 2011,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38; 2012,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46, т. 2; 2014,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6; 2015,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27; 2016,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33, т. 1,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43; 2017,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54; 2018,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61, т. 1,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6; 2019,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>20; Областная, 2019, 16 декабря) изменение, дополнив ее частями 4 - 13 следующего содержания:</w:t>
      </w:r>
    </w:p>
    <w:p w:rsidR="00D76C41" w:rsidRPr="00566DD4" w:rsidRDefault="00915AD8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76C41" w:rsidRPr="00566DD4">
        <w:rPr>
          <w:rFonts w:ascii="Times New Roman" w:hAnsi="Times New Roman" w:cs="Times New Roman"/>
          <w:sz w:val="24"/>
          <w:szCs w:val="24"/>
        </w:rPr>
        <w:t>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1) 90 процентов от установленной налоговой ставки в течение налогового периода, следующего за налоговым периодом, в котором объем инвестиций в основные средства в результате реализации регионального инвестиционного проекта составил более 50 миллионов рублей и ввод основных средств превысил 10 процентов от общей остаточной стоимости основных средств на конец налогового периода, предшествующего текущему налоговому периоду (далее в настоящей статье - отчетный налоговый период),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</w:t>
      </w:r>
      <w:r w:rsidRPr="00566DD4">
        <w:rPr>
          <w:rFonts w:ascii="Times New Roman" w:hAnsi="Times New Roman" w:cs="Times New Roman"/>
          <w:sz w:val="24"/>
          <w:szCs w:val="24"/>
        </w:rPr>
        <w:lastRenderedPageBreak/>
        <w:t>1,11 x ИПЦ</w:t>
      </w:r>
      <w:r w:rsidRPr="00566DD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66DD4">
        <w:rPr>
          <w:rFonts w:ascii="Times New Roman" w:hAnsi="Times New Roman" w:cs="Times New Roman"/>
          <w:sz w:val="24"/>
          <w:szCs w:val="24"/>
        </w:rPr>
        <w:t>, где: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ИПЦ - прогнозируемый на текущий год сводный индекс потребительских цен в соответствии с первым вариантом утвержденного прогноза социально-экономического развития Иркутской области на текущий год и плановый период;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t - разница лет между отчетным налоговым периодом и базовым налоговым периодом;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2) 80 процентов от установленной налоговой ставки в течение налогового периода, следующего за налоговым периодом, в котором объем инвестиций в основные средства в результате реализации регионального инвестиционного проекта составил более 250 миллионов рублей и ввод основных средств превысил 12,5 процента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1,25 x ИПЦ</w:t>
      </w:r>
      <w:r w:rsidRPr="00566DD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66DD4">
        <w:rPr>
          <w:rFonts w:ascii="Times New Roman" w:hAnsi="Times New Roman" w:cs="Times New Roman"/>
          <w:sz w:val="24"/>
          <w:szCs w:val="24"/>
        </w:rPr>
        <w:t>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3) 70 процентов от установленной налоговой ставки в течение налогового периода, следующего за налоговым периодом, в котором объем инвестиций в основные средства в результате реализации регионального инвестиционного проекта составил более 500 миллионов рублей и ввод основных средств превысил 15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1,43 x ИПЦ</w:t>
      </w:r>
      <w:r w:rsidRPr="00566DD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66DD4">
        <w:rPr>
          <w:rFonts w:ascii="Times New Roman" w:hAnsi="Times New Roman" w:cs="Times New Roman"/>
          <w:sz w:val="24"/>
          <w:szCs w:val="24"/>
        </w:rPr>
        <w:t>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4) 60 процентов от установленной налоговой ставки в течение налогового периода, следующего за налоговым периодом, в котором объем инвестиций в основные средства в результате реализации регионального инвестиционного проекта составил более 2 000 миллионов рублей и ввод основных средств превысил 20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1,667 x ИПЦ</w:t>
      </w:r>
      <w:r w:rsidRPr="00566DD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66DD4">
        <w:rPr>
          <w:rFonts w:ascii="Times New Roman" w:hAnsi="Times New Roman" w:cs="Times New Roman"/>
          <w:sz w:val="24"/>
          <w:szCs w:val="24"/>
        </w:rPr>
        <w:t>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5) 50 процентов от установленной налоговой ставки в течение налогового периода, следующего за налоговым периодом, в котором объем инвестиций в основные средства в результате реализации регионального инвестиционного проекта составил более 4 000 миллионов рублей и ввод основных средств превысил 25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2,0 x ИПЦ</w:t>
      </w:r>
      <w:r w:rsidRPr="00566DD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66DD4">
        <w:rPr>
          <w:rFonts w:ascii="Times New Roman" w:hAnsi="Times New Roman" w:cs="Times New Roman"/>
          <w:sz w:val="24"/>
          <w:szCs w:val="24"/>
        </w:rPr>
        <w:t>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5. Для организаций, ранее не применявших налоговые льготы, предусмотренные частью 2 настоящей статьи, под базовым налоговым периодом понимается налоговый период, предшествующий налоговому периоду, в котором организация начала применять налоговые льготы, предусмотренные частью 4 настоящей статьи, или пятый налоговый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 начала применять налоговые льготы, предусмотренные частью 4 настоящей статьи, составляет пять и более лет.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Для организаций, у которых в базовом налоговом периоде не возникало обязательств по уплате налога, под базовым налоговым периодом понимается налоговый период, в котором организация начала применять налоговые льготы, предусмотренные частью 4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Для организаций, у которых текущий либо отчетный налоговые периоды совпадают с базовым налоговым периодом, условия, установленные частью 4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не </w:t>
      </w:r>
      <w:r w:rsidRPr="00566DD4">
        <w:rPr>
          <w:rFonts w:ascii="Times New Roman" w:hAnsi="Times New Roman" w:cs="Times New Roman"/>
          <w:sz w:val="24"/>
          <w:szCs w:val="24"/>
        </w:rPr>
        <w:lastRenderedPageBreak/>
        <w:t>применяются.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6. Для организаций, ранее применявших налоговые льготы, предусмотренные частью 2 настоящей статьи, под базовым налоговым периодом (до момента,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проекта) понимается налоговый период, предшествующий налоговому периоду, в котором организация начала применять налоговые льготы, предусмотренные частью 2 настоящей статьи, или пятый налоговый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 начала применять налоговые льготы, предусмотренные частью 2 настоящей статьи, составляет пять и более лет.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Для организаций, у которых в базовом налоговом периоде не возникало обязательств по уплате налога, под базовым налоговым периодом понимается налоговый период, в котором организация начала применять налоговые льготы, предусмотренные частью 2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В случае,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проекта, под базовым налоговым периодом понимается налоговый период, указанный в части 5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7. В целях настоящей статьи не признается инвестициями и не учитывается при определении соответствия условиям, установленным частью 4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имущество, принятое организацией на учет в качестве основных средств в результате: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1) реорганизации или ликвидации юридических лиц;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2) передачи, включая приобретение, имущества между лицами, признаваемыми в соответствии с положениями </w:t>
      </w:r>
      <w:hyperlink r:id="rId11" w:history="1">
        <w:r w:rsidRPr="00566DD4">
          <w:rPr>
            <w:rFonts w:ascii="Times New Roman" w:hAnsi="Times New Roman" w:cs="Times New Roman"/>
            <w:sz w:val="24"/>
            <w:szCs w:val="24"/>
          </w:rPr>
          <w:t>пункта 2 статьи 105.1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взаимозависимыми (далее - взаимозависимые лица), в случае учета данного имущества на балансе в качестве объекта основных средств до момента передачи, включая приобретение, между взаимозависимыми лицами.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8. Налоговые льготы, предусмотренные частью 4 настоящей статьи, применяются не ранее налогового периода, в котором участник регионального инвестиционного проекта включен в реестр участников региональных инвестиционных проектов.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9. Для организации - участника регионального инвестиционного проекта, с момента включения в реестр участников региональных инвестиционных проектов которой прошло не более десяти лет и объем первоначальной стоимости ввода основных средств которой в отчетном налоговом периоде превысил 8 000 миллионов рублей, условия, установленные частью 4 настоящей статьи к объему инвестиций в основные средства и размеру ввода основных средств, не применяются в течение </w:t>
      </w:r>
      <w:r w:rsidR="00566DD4" w:rsidRPr="00566DD4">
        <w:rPr>
          <w:rFonts w:ascii="Times New Roman" w:hAnsi="Times New Roman" w:cs="Times New Roman"/>
          <w:sz w:val="24"/>
          <w:szCs w:val="24"/>
        </w:rPr>
        <w:t>№</w:t>
      </w:r>
      <w:r w:rsidRPr="00566DD4">
        <w:rPr>
          <w:rFonts w:ascii="Times New Roman" w:hAnsi="Times New Roman" w:cs="Times New Roman"/>
          <w:sz w:val="24"/>
          <w:szCs w:val="24"/>
        </w:rPr>
        <w:t xml:space="preserve"> налоговых периодов, следующих за отчетным налоговым периодом, где:</w:t>
      </w:r>
    </w:p>
    <w:p w:rsidR="00D76C41" w:rsidRPr="00566DD4" w:rsidRDefault="00566DD4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№</w:t>
      </w:r>
      <w:r w:rsidR="00D76C41" w:rsidRPr="00566DD4">
        <w:rPr>
          <w:rFonts w:ascii="Times New Roman" w:hAnsi="Times New Roman" w:cs="Times New Roman"/>
          <w:sz w:val="24"/>
          <w:szCs w:val="24"/>
        </w:rPr>
        <w:t xml:space="preserve"> - целая часть числа, полученного в результате деления объема первоначальной стоимости ввода основных средств в отчетном налоговом периоде на 4 000 миллионов рублей, но не более семи.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10. Налоговые льготы, предусмотренные частью 4 настоящей статьи, применяются при выполнении следующих условий: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1) ведение организациями раздельного бухгалтерского учета объектов основных средств, используемых в деятельности, осуществляемой при реализации региональных инвестиционных проектов, и объектов основных средств, используемых при осуществлении иной деятельности;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2) отсутствие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налогового периода, а также на 1 января налогового периода, следующего за периодом, за который налогоплательщик желает использовать налоговую льготу, предусмотренную частью 4 настоящей статьи;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lastRenderedPageBreak/>
        <w:t>3) организация не находится в процессе ликвидации или реорганизации, за исключением случаев, предусмотренных законодательством Российской Федерации, а также если в отношении нее не возбуждено производство по делу о банкротстве в соответствии с законодательством Российской Федерации на конец каждого налогового периода, за который организация желает использовать налоговую льготу, предусмотренную частью 4 настоящей статьи;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4) организация не является участником консолидированной группы налогоплательщиков;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5) наибольший удельный вес доходов, учитываемых при определении налоговой базы, без учета доходов в виде положительных курсовых разниц не приходится на доходы, полученные от вида экономической деятельности, включенного в </w:t>
      </w:r>
      <w:hyperlink r:id="rId12" w:history="1">
        <w:r w:rsidRPr="00566DD4">
          <w:rPr>
            <w:rFonts w:ascii="Times New Roman" w:hAnsi="Times New Roman" w:cs="Times New Roman"/>
            <w:sz w:val="24"/>
            <w:szCs w:val="24"/>
          </w:rPr>
          <w:t>раздел В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</w:t>
      </w:r>
      <w:r w:rsidR="00915AD8">
        <w:rPr>
          <w:rFonts w:ascii="Times New Roman" w:hAnsi="Times New Roman" w:cs="Times New Roman"/>
          <w:sz w:val="24"/>
          <w:szCs w:val="24"/>
        </w:rPr>
        <w:t>«</w:t>
      </w:r>
      <w:r w:rsidRPr="00566DD4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  <w:r w:rsidR="00915AD8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 деятельности ОК 029-2014 (КДЕС РЕД. 2).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11.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в строительство многоквартирных жилых домов (в том числе с нежилыми помещениями), учитываемых на балансе организации в качестве объектов основных средств в порядке, установленном для ведения бухгалтерского учета (далее - жилищные объекты), имеет право уменьшить налог (авансовый платеж по налогу), исчисленный в том числе с учетом положений части 4 настоящей статьи, на размер, не превышающий: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50 процентов от суммы понесенных расходов на строительство жилищных объектов;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50 процентов от налога (авансового платежа по налогу), исчисленного за текущий налоговый период, в том числе с учетом положений части 4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Сумма расходов, указанная в абзаце втором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части 4 настоящей статьи, может быть учтена в течение пяти последующих налоговых периодов начиная с налогового периода, в котором впервые подана налоговая декларация по налогу, предусматривающая уменьшение налога по каждому жилищному объекту, на условиях, указанных в абзаце третьем настоящей части, в пределах десяти лет с момента включения организации в реестр участников региональных инвестиционных проектов.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12.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в строительство объектов социально-культурной сферы, к которым относятся объекты здравоохранения, образования, культуры, физкультуры и спорта, учитываемых на балансе организации в качестве объектов основных средств в порядке, установленном для ведения бухгалтерского учета (далее - социальные объекты), имеет право уменьшить налог (авансовый платеж по налогу), исчисленный в том числе с учетом положений части 4 настоящей статьи, на размер, не превышающий: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100 процентов от суммы понесенных расходов на строительство социальных объектов;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50 процентов от налога (авансового платежа по налогу), исчисленного за текущий налоговый период, в том числе с учетом положений части 4 настоящей статьи.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 xml:space="preserve">Сумма расходов, указанная в абзаце втором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части 4 настоящей статьи, может быть учтена в течение пяти последующих налоговых периодов начиная с налогового периода, в котором впервые подана налоговая декларация по налогу, предусматривающая уменьшение налога по каждому социальному объекту, на условиях, </w:t>
      </w:r>
      <w:r w:rsidRPr="00566DD4">
        <w:rPr>
          <w:rFonts w:ascii="Times New Roman" w:hAnsi="Times New Roman" w:cs="Times New Roman"/>
          <w:sz w:val="24"/>
          <w:szCs w:val="24"/>
        </w:rPr>
        <w:lastRenderedPageBreak/>
        <w:t>указанных в абзаце третьем настоящей части, в пределах десяти лет с момента включения организации в реестр участников региональных инвестиционных проектов.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13. Налоговые льготы, предусмотренные частями 11, 12 настоящей статьи, применяются при выполнении следующих условий: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1) наличие положительного заключения экспертизы проектной документации и результатов инженерных изысканий и заключения о достоверности определения сметной стоимости строительства жилищных объектов, социальных объектов;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2) осуществление строительства жилищных объектов, социальных объектов на территориях муниципальных районов и (или) городских округов Иркутской области, в которых реализуется региональный инвестиционный проект.</w:t>
      </w:r>
      <w:r w:rsidR="00915AD8">
        <w:rPr>
          <w:rFonts w:ascii="Times New Roman" w:hAnsi="Times New Roman" w:cs="Times New Roman"/>
          <w:sz w:val="24"/>
          <w:szCs w:val="24"/>
        </w:rPr>
        <w:t>»</w:t>
      </w:r>
      <w:r w:rsidRPr="00566DD4">
        <w:rPr>
          <w:rFonts w:ascii="Times New Roman" w:hAnsi="Times New Roman" w:cs="Times New Roman"/>
          <w:sz w:val="24"/>
          <w:szCs w:val="24"/>
        </w:rPr>
        <w:t>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C41" w:rsidRPr="00566DD4" w:rsidRDefault="00D76C41" w:rsidP="00915AD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6DD4">
        <w:rPr>
          <w:rFonts w:ascii="Times New Roman" w:hAnsi="Times New Roman" w:cs="Times New Roman"/>
          <w:sz w:val="24"/>
          <w:szCs w:val="24"/>
        </w:rPr>
        <w:t>Статья 3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66DD4">
        <w:rPr>
          <w:rFonts w:ascii="Times New Roman" w:hAnsi="Times New Roman" w:cs="Times New Roman"/>
          <w:sz w:val="24"/>
          <w:szCs w:val="24"/>
        </w:rPr>
        <w:t>1. Настоящий Закон вступает в силу после дня его официального опубликования, но не ранее 1 января 2020 года, за исключением положений, для которых настоящей статьей установлены иные сроки вступления в силу.</w:t>
      </w:r>
    </w:p>
    <w:p w:rsidR="00D76C41" w:rsidRPr="00566DD4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  <w:r w:rsidRPr="00566DD4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22" w:history="1">
        <w:r w:rsidRPr="00566DD4">
          <w:rPr>
            <w:rFonts w:ascii="Times New Roman" w:hAnsi="Times New Roman" w:cs="Times New Roman"/>
            <w:sz w:val="24"/>
            <w:szCs w:val="24"/>
          </w:rPr>
          <w:t>Пункт 2 статьи 1</w:t>
        </w:r>
      </w:hyperlink>
      <w:r w:rsidRPr="00566DD4">
        <w:rPr>
          <w:rFonts w:ascii="Times New Roman" w:hAnsi="Times New Roman" w:cs="Times New Roman"/>
          <w:sz w:val="24"/>
          <w:szCs w:val="24"/>
        </w:rPr>
        <w:t xml:space="preserve"> настоящего Закона вступает в силу с 1 января 2021 года.</w:t>
      </w:r>
    </w:p>
    <w:p w:rsidR="00D76C41" w:rsidRDefault="00D76C41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AD8" w:rsidRDefault="00915AD8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AD8" w:rsidRPr="00566DD4" w:rsidRDefault="00915AD8" w:rsidP="00915A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C41" w:rsidRPr="00915AD8" w:rsidRDefault="00D76C41" w:rsidP="00915AD8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5AD8">
        <w:rPr>
          <w:rFonts w:ascii="Times New Roman" w:hAnsi="Times New Roman" w:cs="Times New Roman"/>
          <w:i/>
          <w:sz w:val="24"/>
          <w:szCs w:val="24"/>
        </w:rPr>
        <w:t>Временно исполняющий обязанности</w:t>
      </w:r>
    </w:p>
    <w:p w:rsidR="00D76C41" w:rsidRPr="00915AD8" w:rsidRDefault="00D76C41" w:rsidP="00915AD8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5AD8">
        <w:rPr>
          <w:rFonts w:ascii="Times New Roman" w:hAnsi="Times New Roman" w:cs="Times New Roman"/>
          <w:i/>
          <w:sz w:val="24"/>
          <w:szCs w:val="24"/>
        </w:rPr>
        <w:t>Губернатора Иркутской области</w:t>
      </w:r>
    </w:p>
    <w:p w:rsidR="00D76C41" w:rsidRPr="00915AD8" w:rsidRDefault="00D76C41" w:rsidP="00915AD8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5AD8">
        <w:rPr>
          <w:rFonts w:ascii="Times New Roman" w:hAnsi="Times New Roman" w:cs="Times New Roman"/>
          <w:i/>
          <w:sz w:val="24"/>
          <w:szCs w:val="24"/>
        </w:rPr>
        <w:t>И.И.</w:t>
      </w:r>
      <w:r w:rsidR="00915A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AD8">
        <w:rPr>
          <w:rFonts w:ascii="Times New Roman" w:hAnsi="Times New Roman" w:cs="Times New Roman"/>
          <w:i/>
          <w:sz w:val="24"/>
          <w:szCs w:val="24"/>
        </w:rPr>
        <w:t>К</w:t>
      </w:r>
      <w:r w:rsidR="00915AD8">
        <w:rPr>
          <w:rFonts w:ascii="Times New Roman" w:hAnsi="Times New Roman" w:cs="Times New Roman"/>
          <w:i/>
          <w:sz w:val="24"/>
          <w:szCs w:val="24"/>
        </w:rPr>
        <w:t>обзев</w:t>
      </w:r>
    </w:p>
    <w:p w:rsidR="00147BD3" w:rsidRPr="00915AD8" w:rsidRDefault="00147BD3" w:rsidP="00566D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47BD3" w:rsidRPr="00915AD8" w:rsidSect="00566D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41"/>
    <w:rsid w:val="00147BD3"/>
    <w:rsid w:val="00566DD4"/>
    <w:rsid w:val="00915AD8"/>
    <w:rsid w:val="00BA2B43"/>
    <w:rsid w:val="00D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6C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6C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3088492A1187CB48A861335108A4528EDF11A976B585930265EA04C1168C3BD426F3DA2CE4588E4ECDFECC085F6857CCB1D96B7AEpBW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3088492A1187CB48A981E237CD0492AE5AB13906A5A086B7B58F713416E96FD02696AE68A4A82B6B990ED9CC1A6967CCC1D94B5B2B73304p8W6I" TargetMode="External"/><Relationship Id="rId12" Type="http://schemas.openxmlformats.org/officeDocument/2006/relationships/hyperlink" Target="consultantplus://offline/ref=9F83088492A1187CB48A861335108A4528EAF51B986D585930265EA04C1168C3BD426F3FA5CE438AB7B6CFE889D0FE9B79D70396A9AEB531p0W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3088492A1187CB48A981E237CD0492AE5AB13906A5A086B7B58F713416E96FD02696AE68A4A82B0BD9BB0C58EA7CA389C0E94B2B2B5311884A19Dp9WAI" TargetMode="External"/><Relationship Id="rId11" Type="http://schemas.openxmlformats.org/officeDocument/2006/relationships/hyperlink" Target="consultantplus://offline/ref=9F83088492A1187CB48A861335108A4528EDF11A976B585930265EA04C1168C3BD426F3FA0CF4588E4ECDFECC085F6857CCB1D96B7AEpBW5I" TargetMode="External"/><Relationship Id="rId5" Type="http://schemas.openxmlformats.org/officeDocument/2006/relationships/hyperlink" Target="consultantplus://offline/ref=9F83088492A1187CB48A981E237CD0492AE5AB13906A5A086B7B58F713416E96FD02696AF48A128EB0B885B9CF9BF19B7EpCW9I" TargetMode="External"/><Relationship Id="rId10" Type="http://schemas.openxmlformats.org/officeDocument/2006/relationships/hyperlink" Target="consultantplus://offline/ref=9F83088492A1187CB48A981E237CD0492AE5AB139068550B697A58F713416E96FD02696AE68A4A82B0BD9BB8CD8EA7CA389C0E94B2B2B5311884A19Dp9W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3088492A1187CB48A861335108A4528EAF51B986D585930265EA04C1168C3BD426F3FA5CE438AB7B6CFE889D0FE9B79D70396A9AEB531p0W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2020-02-06T01:34:00Z</dcterms:created>
  <dcterms:modified xsi:type="dcterms:W3CDTF">2020-02-06T01:34:00Z</dcterms:modified>
</cp:coreProperties>
</file>